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134</w:t>
      </w:r>
    </w:p>
    <w:p>
      <w:r>
        <w:t>Bundesgericht (BGE), 1980-01-01, FR</w:t>
      </w:r>
    </w:p>
    <w:p>
      <w:r>
        <w:rPr>
          <w:b/>
        </w:rPr>
        <w:t xml:space="preserve">Quelle: </w:t>
      </w:r>
      <w:r>
        <w:t>https://mcp.opencaselaw.ch/entscheid/bge_106 IV 134</w:t>
      </w:r>
    </w:p>
    <w:p>
      <w:r>
        <w:t>FR: ATF 106 IV 134</w:t>
      </w:r>
    </w:p>
    <w:p>
      <w:r>
        <w:t>IT: DTF 106 IV 134</w:t>
      </w:r>
    </w:p>
    <w:p>
      <w:pPr>
        <w:pStyle w:val="Heading2"/>
      </w:pPr>
      <w:r>
        <w:t>Regeste</w:t>
      </w:r>
    </w:p>
    <w:p>
      <w:r>
        <w:t>Regeste Art. 396 StGB; Begnadigung; 1. Die Begnadigung kann sich nur auf den Vollzug von Strafen, nicht auf Massnahmen beziehen. Zur Unterscheidung zwischen Freiheitstrafen und freiheitsentziehenden Massnahmen: Während das Strafmass in erster Linie durch die Schwere der Tat bestimmt wird, hängt der zeitliche Umfang der Massnahme von der Dauer ab, die zur Erreichung des Zweckes der Sanktion erforderlich ist. 2. Art. 100bis StGB regelt eine Massnahme; eine Begnadigung ist daher nicht möglich.</w:t>
      </w:r>
    </w:p>
    <w:p>
      <w:pPr>
        <w:pStyle w:val="Heading2"/>
      </w:pPr>
      <w:r>
        <w:t>Erwägungen</w:t>
      </w:r>
    </w:p>
    <w:p>
      <w:r>
        <w:rPr>
          <w:b/>
        </w:rPr>
        <w:t>E. 3</w:t>
      </w:r>
    </w:p>
    <w:p>
      <w:r>
        <w:t>a) Aux termes mêmes de l'art. 396 CP, la grâce ne peut déployer d'effets que sur l'exécution des peines et non celle des BGE 106 IV 134 S. 136 mesures; ce point de vue sur lequel la jurisprudence n'a pas varié n'est pas combattu en doctrine (SCHULTZ, Introduction, tome I, 3e éd., p. 233; CLERC, loc.cit., p. 100 s. no 4; JAAC 1959/60 p. 198). Le recourant non plus ne soutient pas autre chose puisqu'en réalité il prétend seulement que certaines mesures et notamment celle prévue à l'art. 100bis CP sont assimilables à des peines du point de vue de l'art. 396 CP. b) Les peines privatives de liberté (réclusion et emprisonnement) sont destinées notamment à exercer sur le détenu une action éducatrice et à préparer son retour à la vie libre (art. 37 al. 1 CP). Ce but ne diffère pas tellement de celui que s'est proposé le législateur en prévoyant le placement des jeunes adultes en maison d'éducation au travail (art. 100bis CP); aussi est-il dans ces cas malaisé de déterminer ce qui distingue objectivement les peines des mesures. Le premier critère qui se présente à l'esprit est fondé sur l'élément qui commandera la durée de la sanction: la peine est avant tout fonction de la gravité de l'infraction et de la culpabilité de l'auteur (art. 63 ss. CP) tandis que la durée de la mesure dépendra au premier chef du temps nécessaire pour amender le détenu (cf. art. 43 ch. 4 al. 1: l'autorité mettra fin à la mesure lorsque la cause en aura disparu; art. 44 ch. 4: Lorsque l'autorité compétente tiendra l'interné pour guéri, elle le libérera). Si l'on se fonde sur le critère précité, le placement au sens de l'art. 100bis CP se présente nettement comme une mesure et non comme une peine. Non seulement cette mesure est prononcée "au lieu d'une peine" aux termes mêmes de la loi, mais encore sa durée ne dépend-elle nullement de la gravité de l'infraction, mais de la conduite du jeune adulte (cf. art. 100ter CP). On ne saurait dès lors taxer l'autorité cantonale d'arbitraire pour avoir considéré que la détention du recourant ne constituait pas une peine mais une mesure de sûreté ne pouvant être remise par l'effet de la grâce. Il s'agit là au contraire d'une opinion solidement fondée au regard de la loi.</w:t>
      </w:r>
    </w:p>
    <w:p>
      <w:r>
        <w:rPr>
          <w:b/>
        </w:rPr>
        <w:t>E. 4</w:t>
      </w:r>
    </w:p>
    <w:p>
      <w:r>
        <w:t>Le recourant reproche en outre à l'autorité cantonale d'avoir violé d'une manière arbitraire l'art. 491 PP en s'arrogeant la compétence de ne pas transmettre sa requête au Grand Conseil. Seul ce dernier selon lui aurait été en droit de se prononcer sur la portée de l'art. 396 CP. L'art. 491 PP est pourtant très clair dans son libellé: c'est au BGE 106 IV 134 S. 137 Conseil d'Etat qu'il appartient d'écarter la demande lorsque, partageant l'opinion du Département de justice et police qui la lui transmet, il l'estime irrecevable. Comme cette disposition en elle-même n'est pas attaquée par le recourant et que rien ne permet de penser que le législateur vaudois a entendu faire des distinctions entre les diverses causes d'irrecevabilité qui pourraient affecter une demande de grâce, on ne saurait considérer que le Conseil d'Etat a fait preuve d'arbitraire en écartant une demande qu'il jugeait - à bon droit si l'on se réfère aux considérants qui précédent - irrecevable.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